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424C" w14:textId="77777777" w:rsidR="006F441B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08A94457" w14:textId="45BD225C" w:rsidR="006F441B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 xml:space="preserve">Zestaw pytań i odpowiedzi nr 1 z dnia 14.12.2022 </w:t>
      </w:r>
      <w:proofErr w:type="gramStart"/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r</w:t>
      </w:r>
      <w:proofErr w:type="gramEnd"/>
    </w:p>
    <w:p w14:paraId="60AF7234" w14:textId="77777777" w:rsidR="006F441B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01617A0A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1) Prosimy o wskazanie drogi dojazdowej na budowę dla ciężkiego sprzętu (np. pompa do</w:t>
      </w:r>
    </w:p>
    <w:p w14:paraId="1C66805B" w14:textId="55CC235E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betonu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, koparki, wywrotki). Ze względów bezpieczeństwa przez istniejące kable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energetyczne nie ma możliwości betonowania zza ogrodzenia z drogi głównej.</w:t>
      </w:r>
    </w:p>
    <w:p w14:paraId="76324D7F" w14:textId="2823AE19" w:rsidR="001B07BF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1144C4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W przedmiarze są przewidziane wykopy </w:t>
      </w:r>
      <w:r w:rsidR="00ED36C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koparkami do 70 cm (może być mała (lekka) koparka oraz wykopy ręczne 30 cm.</w:t>
      </w:r>
      <w:r w:rsidR="004E374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Zamawiający proponuje zakup prefabrykatów: stóp </w:t>
      </w:r>
      <w:proofErr w:type="gramStart"/>
      <w:r w:rsidR="004E374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żelbetowych,  kominków</w:t>
      </w:r>
      <w:proofErr w:type="gramEnd"/>
      <w:r w:rsidR="004E374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żelbetowych i podwalin.</w:t>
      </w:r>
    </w:p>
    <w:p w14:paraId="1FFE0261" w14:textId="77777777" w:rsidR="001144C4" w:rsidRPr="006F441B" w:rsidRDefault="001144C4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2356F718" w14:textId="20637A66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2) Czy w ofercie należy uwzględnić odtworzenie terenów po wykonaniu prac?</w:t>
      </w:r>
    </w:p>
    <w:p w14:paraId="5E62462A" w14:textId="1C054764" w:rsidR="00EC19E6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1B07B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Wykonawca po wykonaniu prac zobowiązany jest </w:t>
      </w:r>
      <w:r w:rsidR="0078041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do </w:t>
      </w:r>
      <w:r w:rsidR="001B07B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przywrócenie terenu przyległego </w:t>
      </w:r>
      <w:r w:rsidR="0078041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d</w:t>
      </w:r>
      <w:r w:rsidR="001B07B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o stanu istniejącego</w:t>
      </w:r>
      <w:r w:rsidR="0078041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.</w:t>
      </w:r>
      <w:r w:rsidR="00EC19E6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Roboty odtworzeniowe będą rozliczone kosztorysem powykonawczym, nie należy ich uwzględniać w ofercie.</w:t>
      </w:r>
    </w:p>
    <w:p w14:paraId="0A4E7A0A" w14:textId="77777777" w:rsidR="00ED36CF" w:rsidRPr="006F441B" w:rsidRDefault="00ED36C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766B9456" w14:textId="61CC32B0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3) Prosimy o informację odnośnie usunięcia przez Inwestora potencjalnych kolizji na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drodze dojazdowej (drzewa, chodniki, ławki, inne). Czy wszystkie potencjalne koszty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dróg oraz kolizji należy uwzględnić w ofercie?</w:t>
      </w:r>
    </w:p>
    <w:p w14:paraId="2248017E" w14:textId="6EE902C2" w:rsidR="00780411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2E043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Wykonawca w trakcie </w:t>
      </w:r>
      <w:r w:rsidR="004C5B95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prowadzenia</w:t>
      </w:r>
      <w:r w:rsidR="002E043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prac zobligowany </w:t>
      </w:r>
      <w:r w:rsidR="004C5B95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jest</w:t>
      </w:r>
      <w:r w:rsidR="002E043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do usunięcia potencjalnych kolizji na drodze dojazdowej, a następnie do odtworzenia demontowanych elementów.</w:t>
      </w:r>
      <w:r w:rsidR="000D28E5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Ewentualne usunięcia kolizji będą rozliczone kosztorysem powykonawczym, nie należy ich uwzględniać w ofercie.</w:t>
      </w:r>
    </w:p>
    <w:p w14:paraId="23DD2E4A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73DF2681" w14:textId="25486202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4) W dokumentacji projektowej określono, że zakres tarasu i pochylni przylega do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istniejącego chodnika, informujemy, że w związku z wykonaniem robót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fundamentowych istniejący chodnik ulegnie zniszczeniu, ponieważ jest on w</w:t>
      </w:r>
    </w:p>
    <w:p w14:paraId="52D50AF0" w14:textId="774580BB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rzeczywistości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zlokalizowany bliżej istniejącego budynku niż wskazuje na to PTW.</w:t>
      </w:r>
    </w:p>
    <w:p w14:paraId="1E78F49E" w14:textId="7FA7F600" w:rsidR="004E3741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9520A6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315B5E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Jeżeli</w:t>
      </w:r>
      <w:proofErr w:type="gramEnd"/>
      <w:r w:rsidR="00315B5E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po wytyczeniu przez geodetę elementów konstrukcyjnych pochylni i tarasu okaże się, że lokalizacja chodnika jest inna niż wskazana w PTW </w:t>
      </w:r>
      <w:r w:rsidR="000D1DCD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Wykonawca będzie zobowiązany</w:t>
      </w:r>
      <w:r w:rsidR="0064705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rozebrania i</w:t>
      </w:r>
      <w:r w:rsidR="000D1DCD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do odtworzenia chodnika w lokalizacji wskazanej w PTW w ramach robót dodatkowych.</w:t>
      </w:r>
      <w:r w:rsidR="000D28E5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2C242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Roboty dodatkowe związane z przełożeniem chodnika będą rozliczone powykonawczo.</w:t>
      </w:r>
    </w:p>
    <w:p w14:paraId="40687A73" w14:textId="2BB93678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0431514D" w14:textId="23523962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5) Czy należy ująć rozebranie i odtworzenie w nowej lokalizacji istniejącego chodnika </w:t>
      </w:r>
      <w:r w:rsidRPr="009520A6">
        <w:t>w</w:t>
      </w:r>
      <w:r w:rsidR="009520A6">
        <w:t xml:space="preserve"> </w:t>
      </w:r>
      <w:r w:rsidRPr="009520A6">
        <w:t>ofercie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?</w:t>
      </w:r>
    </w:p>
    <w:p w14:paraId="4D4C975C" w14:textId="78DCDA32" w:rsidR="0064705A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64705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J.w.</w:t>
      </w:r>
    </w:p>
    <w:p w14:paraId="23250E49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2B4895D2" w14:textId="742458B5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6) Zgodnie z Planem Zabudowy i Zagospodarowania terenu obszar Inwestycji nakłada się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na istniejące sieci zewnętrzne tj. kanalizację deszczową, telekomunikację i sieć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elektroenergetyczną, zgodnie z rzędnymi z mapy występują kolizje z tymi sieciami. Po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czyjej stronie są i czy należy ująć w ofercie potencjalne koszty usunięcia </w:t>
      </w: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kolizji ?</w:t>
      </w:r>
      <w:proofErr w:type="gramEnd"/>
    </w:p>
    <w:p w14:paraId="5BF8BB82" w14:textId="4BAB97A4" w:rsidR="002C242F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2C242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Na etapie ofertowania nie należy uwzględniać robót związanych z usunięciem kolizji. </w:t>
      </w:r>
    </w:p>
    <w:p w14:paraId="703E415E" w14:textId="77777777" w:rsidR="002C242F" w:rsidRPr="006F441B" w:rsidRDefault="002C242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Ewentualne usunięcia kolizji będą rozliczone kosztorysem powykonawczym. </w:t>
      </w:r>
    </w:p>
    <w:p w14:paraId="5ACB0FEA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48646C8B" w14:textId="5E66847D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7) Czy należy ująć w ofercie ewentualną wymianę gruntu pod stopami </w:t>
      </w: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fundamentowymi ?</w:t>
      </w:r>
      <w:proofErr w:type="gramEnd"/>
    </w:p>
    <w:p w14:paraId="32702E47" w14:textId="65B22469" w:rsidR="00DD6955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2C242F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Po wykonaniu wykopów pod stopy fundamentowe, Projektant dokona oceny i wyda rozwiązanie projektowe. Ewentualne roboty dodatkowe będą rozliczone kosztorysem powykonawczym.</w:t>
      </w:r>
    </w:p>
    <w:p w14:paraId="7D65B8E8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4FA4EF6E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8) Po czyjej stronie jest przygotowanie i zabezpieczenie do prac modernizacyjnych</w:t>
      </w:r>
    </w:p>
    <w:p w14:paraId="05822E20" w14:textId="642380A8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pomieszczenia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9520A6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świetlicy?</w:t>
      </w:r>
    </w:p>
    <w:p w14:paraId="6AD1275E" w14:textId="37603170" w:rsidR="0064705A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64705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Wykonawca powinien w ofercie uwzględnić przygotowanie i zabezpieczenie pomieszczeń świetlicy.</w:t>
      </w:r>
    </w:p>
    <w:p w14:paraId="6575932D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48B96E00" w14:textId="76863989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9) Czy należy przyjąć w ofercie odnowienie całego pomieszczenia świetlicy po wykonaniu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prac modernizacyjnych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? </w:t>
      </w:r>
      <w:r w:rsidR="009520A6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Uważamy, że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zakres przyjęty w przedmiarach jest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niewystarczający.</w:t>
      </w:r>
    </w:p>
    <w:p w14:paraId="1E03C36E" w14:textId="2ACF4D95" w:rsidR="004922DC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4922DC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Jeżeli</w:t>
      </w:r>
      <w:proofErr w:type="gramEnd"/>
      <w:r w:rsidR="004922DC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na etapie wykonawstwa okaże się niezbędnym odnowienie pomieszczenia świetlicy, prace te będą rozliczone jako roboty dodatkowe. </w:t>
      </w:r>
    </w:p>
    <w:p w14:paraId="03118722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27F1DF3C" w14:textId="5F7CEEEB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10) Zgodnie z PTW należy wstawić nowe drzwi tarasowe D1 i okno balkonowe O1, brak </w:t>
      </w:r>
      <w:proofErr w:type="spell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wprzedmiarze</w:t>
      </w:r>
      <w:proofErr w:type="spell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, czy ująć dodatkowe koszty rozbiórek, utylizacji i wymiany okna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balkonowego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? Jeżeli tak to prosimy o aktualizację rysunku nr 20.</w:t>
      </w:r>
    </w:p>
    <w:p w14:paraId="20725BC2" w14:textId="490A40A1" w:rsidR="007E3F1D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9520A6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7E3F1D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Wymiana drzwi tarasowych jest ujęta w przedmiarze. </w:t>
      </w:r>
    </w:p>
    <w:p w14:paraId="3EEA9E94" w14:textId="1CA9280E" w:rsidR="0064705A" w:rsidRPr="006F441B" w:rsidRDefault="00FA1B56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Wymiana okna na okno balkonowe jest w innej części budynki</w:t>
      </w:r>
      <w:r w:rsidR="004922DC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, roboty z tym związane nie są objęte zakresem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zamówienia.</w:t>
      </w:r>
    </w:p>
    <w:p w14:paraId="25534A4A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050DBEC4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11) Prosimy o podanie dodatkowe parametrów dotyczących deski kompozytowej</w:t>
      </w:r>
    </w:p>
    <w:p w14:paraId="7B5C20FE" w14:textId="49D27BB1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(dokumentacja wskazuję jedynie grubość 25mm).</w:t>
      </w:r>
    </w:p>
    <w:p w14:paraId="11DF9485" w14:textId="04F6CDBF" w:rsidR="00784BF9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Deska kompozytowa - załączam kartę z danymi </w:t>
      </w:r>
    </w:p>
    <w:p w14:paraId="4B1DC208" w14:textId="77777777" w:rsidR="00784BF9" w:rsidRPr="006F441B" w:rsidRDefault="00784BF9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186AAE88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12) Prosimy o </w:t>
      </w: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wskazanie jakiego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przekroju mają być belki pod tarasem, w PTW są podane</w:t>
      </w:r>
    </w:p>
    <w:p w14:paraId="4FB64D6E" w14:textId="0B407B9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dwa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przekroje tj. 10 x 19 cm i 12 x 20 cm.</w:t>
      </w:r>
    </w:p>
    <w:p w14:paraId="522CB8C5" w14:textId="03C7CC10" w:rsidR="00784BF9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Belki pod tarasem powinny mieć wymiar 10x19 cm - załączam poprawne rysunki</w:t>
      </w:r>
      <w:r w:rsidR="00C44854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(Załącznik nr 1 do zestawu pytań).</w:t>
      </w:r>
      <w:bookmarkStart w:id="0" w:name="_GoBack"/>
      <w:bookmarkEnd w:id="0"/>
    </w:p>
    <w:p w14:paraId="5B6E8A21" w14:textId="77777777" w:rsidR="00BB6CDF" w:rsidRPr="006F441B" w:rsidRDefault="00BB6CD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6F364299" w14:textId="66E91CC0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13) W PTW wskazano wykonanie pochylni z płyty ażurowej typu WEMA, brak materiału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 zbiorczych zestawieniach jak i w przedmiarach, czy należy ująć koszt w ofercie?</w:t>
      </w:r>
    </w:p>
    <w:p w14:paraId="1A95C8EA" w14:textId="6FF1083A" w:rsidR="00BB6CDF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DD6955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Koszt materiału jest uwzględniony</w:t>
      </w:r>
      <w:r w:rsidR="004E3741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w przedmiarze i dokumentacji</w:t>
      </w:r>
      <w:r w:rsidR="00DD6955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i podany w kg.</w:t>
      </w:r>
    </w:p>
    <w:p w14:paraId="472A072C" w14:textId="77777777" w:rsidR="00DD6955" w:rsidRPr="006F441B" w:rsidRDefault="00DD6955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0FA5E8E9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14) W PTW i przedmiarach w dziale Nawierzchnia utwardzona kostką </w:t>
      </w:r>
      <w:proofErr w:type="spell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polbruk</w:t>
      </w:r>
      <w:proofErr w:type="spell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wskazano</w:t>
      </w:r>
    </w:p>
    <w:p w14:paraId="6D53E2CA" w14:textId="2FBD9DD1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do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wykonania 4,972 m2 nawierzchni, wg PTW jest jej więcej, czy ująć zwiększony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przedmiar w ofercie?</w:t>
      </w:r>
    </w:p>
    <w:p w14:paraId="57CE1BDA" w14:textId="13B3883B" w:rsidR="00784BF9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Według PTW wychodzi 8,70 m2 kostki </w:t>
      </w:r>
      <w:proofErr w:type="spellStart"/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Polbruk</w:t>
      </w:r>
      <w:proofErr w:type="spellEnd"/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i taką ilość należy przyjąć </w:t>
      </w:r>
    </w:p>
    <w:p w14:paraId="1311B91C" w14:textId="77777777" w:rsidR="00784BF9" w:rsidRPr="006F441B" w:rsidRDefault="00784BF9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46305180" w14:textId="5442B10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15) Prosimy o podanie koloru z palety RAL ogrodzenia panelowego i furtki.</w:t>
      </w:r>
    </w:p>
    <w:p w14:paraId="2AAE08B5" w14:textId="0BBE62EB" w:rsidR="00784BF9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Należy przyjąć kolor z palety RAL ogrodzenia panelowego i furtki </w:t>
      </w:r>
      <w:proofErr w:type="spellStart"/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standartowy</w:t>
      </w:r>
      <w:proofErr w:type="spellEnd"/>
      <w:r w:rsidR="00784BF9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dostępny </w:t>
      </w:r>
    </w:p>
    <w:p w14:paraId="1D8E34F5" w14:textId="7190C0C6" w:rsidR="00BB6CDF" w:rsidRPr="006F441B" w:rsidRDefault="00784BF9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w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ofercie wybranej firmy po uzgodnieniu z inwestorem</w:t>
      </w:r>
    </w:p>
    <w:p w14:paraId="59404E89" w14:textId="77777777" w:rsidR="00784BF9" w:rsidRPr="006F441B" w:rsidRDefault="00784BF9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46B3678D" w14:textId="7413148E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16) Po czyjej stronie jest zapewnienie i koszt 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>mediów do realizacji inwestycji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?</w:t>
      </w:r>
    </w:p>
    <w:p w14:paraId="524EEE86" w14:textId="6838E9AE" w:rsidR="00BB6CDF" w:rsidRPr="006F441B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40065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Po stronie Wykonawcy.</w:t>
      </w:r>
    </w:p>
    <w:p w14:paraId="5092A6E7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6B987412" w14:textId="41288903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17) Czy Inwestor posiada zarezerwowane środki finansowe na inwestycję?</w:t>
      </w:r>
    </w:p>
    <w:p w14:paraId="6C9B88EB" w14:textId="2ADA4ED4" w:rsidR="001B07BF" w:rsidRDefault="006F441B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="00BC701A"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Tak, inwestor przedmiotowe zadania inwestycyjne zostało ujęte w Planie Rzeczowo Finansowym Zamawiającego na rok 2022.</w:t>
      </w:r>
    </w:p>
    <w:p w14:paraId="1B0888F2" w14:textId="77777777" w:rsidR="009520A6" w:rsidRPr="006F441B" w:rsidRDefault="009520A6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52A9CD4D" w14:textId="25E082CE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lastRenderedPageBreak/>
        <w:t>18) Czy Inwestor planuje podpisać umowę oraz przekazać plac budowy do 31.12.2022?</w:t>
      </w:r>
    </w:p>
    <w:p w14:paraId="169DB986" w14:textId="3849C3FB" w:rsidR="006F441B" w:rsidRPr="006F441B" w:rsidRDefault="006F441B" w:rsidP="006F441B">
      <w:pPr>
        <w:autoSpaceDE w:val="0"/>
        <w:autoSpaceDN w:val="0"/>
        <w:jc w:val="both"/>
        <w:rPr>
          <w:rFonts w:ascii="CIDFont+F1" w:hAnsi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/>
          <w:color w:val="404040" w:themeColor="text1" w:themeTint="BF"/>
          <w:sz w:val="24"/>
          <w:szCs w:val="24"/>
        </w:rPr>
        <w:t xml:space="preserve">Tak, inwestor przewiduje możliwość przekazania placu budowy do 31.12.2022 </w:t>
      </w:r>
      <w:proofErr w:type="gramStart"/>
      <w:r w:rsidRPr="006F441B">
        <w:rPr>
          <w:rFonts w:ascii="CIDFont+F1" w:hAnsi="CIDFont+F1"/>
          <w:color w:val="404040" w:themeColor="text1" w:themeTint="BF"/>
          <w:sz w:val="24"/>
          <w:szCs w:val="24"/>
        </w:rPr>
        <w:t>r</w:t>
      </w:r>
      <w:proofErr w:type="gramEnd"/>
      <w:r w:rsidRPr="006F441B">
        <w:rPr>
          <w:rFonts w:ascii="CIDFont+F1" w:hAnsi="CIDFont+F1"/>
          <w:color w:val="404040" w:themeColor="text1" w:themeTint="BF"/>
          <w:sz w:val="24"/>
          <w:szCs w:val="24"/>
        </w:rPr>
        <w:t>.</w:t>
      </w:r>
    </w:p>
    <w:p w14:paraId="3106CDD0" w14:textId="77777777" w:rsidR="001B07BF" w:rsidRPr="006F441B" w:rsidRDefault="001B07BF" w:rsidP="006F441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</w:p>
    <w:p w14:paraId="5735D910" w14:textId="77777777" w:rsidR="001B07BF" w:rsidRPr="006F441B" w:rsidRDefault="001B07BF" w:rsidP="009520A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19) Prosimy o wydłużenie terminu złożenia ofert do dnia </w:t>
      </w:r>
      <w:r w:rsidRPr="006F441B">
        <w:rPr>
          <w:rFonts w:ascii="CIDFont+F2" w:hAnsi="CIDFont+F2" w:cs="CIDFont+F2"/>
          <w:color w:val="404040" w:themeColor="text1" w:themeTint="BF"/>
          <w:sz w:val="24"/>
          <w:szCs w:val="24"/>
        </w:rPr>
        <w:t>06.12.2022</w:t>
      </w:r>
      <w:proofErr w:type="gramStart"/>
      <w:r w:rsidRPr="006F441B">
        <w:rPr>
          <w:rFonts w:ascii="CIDFont+F2" w:hAnsi="CIDFont+F2" w:cs="CIDFont+F2"/>
          <w:color w:val="404040" w:themeColor="text1" w:themeTint="BF"/>
          <w:sz w:val="24"/>
          <w:szCs w:val="24"/>
        </w:rPr>
        <w:t>r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., spowodowane jest</w:t>
      </w:r>
    </w:p>
    <w:p w14:paraId="69C9103E" w14:textId="2BB38E9D" w:rsidR="001B07BF" w:rsidRPr="006F441B" w:rsidRDefault="001B07BF" w:rsidP="009520A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404040" w:themeColor="text1" w:themeTint="BF"/>
          <w:sz w:val="24"/>
          <w:szCs w:val="24"/>
        </w:rPr>
      </w:pPr>
      <w:proofErr w:type="gram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to</w:t>
      </w:r>
      <w:proofErr w:type="gramEnd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chęcią złożenia należycie oszacowanej oferty. Wyznaczenie właściwych granic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czasowych na przygotowanie oferty leży przede wszystkim w interesie Zamawiającego,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ponieważ zapewnia możliwość rzetelnego oszacowania wszystkich elementów</w:t>
      </w:r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cenotwórczych i pozwala na przewidzenie lub wręcz zminimalizowanie wielu </w:t>
      </w:r>
      <w:proofErr w:type="spellStart"/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ryzyk</w:t>
      </w:r>
      <w:proofErr w:type="spellEnd"/>
      <w:r w:rsidR="009520A6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>związanych z realizacją zadania.</w:t>
      </w:r>
    </w:p>
    <w:p w14:paraId="62367F91" w14:textId="7A9F6970" w:rsidR="00A23674" w:rsidRPr="006F441B" w:rsidRDefault="006F441B" w:rsidP="006F441B">
      <w:pPr>
        <w:jc w:val="both"/>
        <w:rPr>
          <w:color w:val="404040" w:themeColor="text1" w:themeTint="BF"/>
        </w:rPr>
      </w:pPr>
      <w:r w:rsidRPr="006F441B">
        <w:rPr>
          <w:rFonts w:ascii="CIDFont+F1" w:hAnsi="CIDFont+F1" w:cs="CIDFont+F1"/>
          <w:b/>
          <w:color w:val="404040" w:themeColor="text1" w:themeTint="BF"/>
          <w:sz w:val="24"/>
          <w:szCs w:val="24"/>
        </w:rPr>
        <w:t>Odp.</w:t>
      </w:r>
      <w:r w:rsidRPr="006F441B">
        <w:rPr>
          <w:rFonts w:ascii="CIDFont+F1" w:hAnsi="CIDFont+F1" w:cs="CIDFont+F1"/>
          <w:color w:val="404040" w:themeColor="text1" w:themeTint="BF"/>
          <w:sz w:val="24"/>
          <w:szCs w:val="24"/>
        </w:rPr>
        <w:t xml:space="preserve"> </w:t>
      </w:r>
      <w:r w:rsidRPr="006F441B">
        <w:rPr>
          <w:color w:val="404040" w:themeColor="text1" w:themeTint="BF"/>
        </w:rPr>
        <w:t xml:space="preserve">Termin otwarcia został przedłużony do dnia 19.12.2022 </w:t>
      </w:r>
      <w:proofErr w:type="gramStart"/>
      <w:r w:rsidRPr="006F441B">
        <w:rPr>
          <w:color w:val="404040" w:themeColor="text1" w:themeTint="BF"/>
        </w:rPr>
        <w:t>r</w:t>
      </w:r>
      <w:proofErr w:type="gramEnd"/>
      <w:r w:rsidRPr="006F441B">
        <w:rPr>
          <w:color w:val="404040" w:themeColor="text1" w:themeTint="BF"/>
        </w:rPr>
        <w:t>.</w:t>
      </w:r>
    </w:p>
    <w:sectPr w:rsidR="00A23674" w:rsidRPr="006F44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65BD" w14:textId="77777777" w:rsidR="00E05B37" w:rsidRDefault="00E05B37" w:rsidP="000D1DCD">
      <w:pPr>
        <w:spacing w:after="0" w:line="240" w:lineRule="auto"/>
      </w:pPr>
      <w:r>
        <w:separator/>
      </w:r>
    </w:p>
  </w:endnote>
  <w:endnote w:type="continuationSeparator" w:id="0">
    <w:p w14:paraId="1412F344" w14:textId="77777777" w:rsidR="00E05B37" w:rsidRDefault="00E05B37" w:rsidP="000D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0DE0D" w14:textId="77777777" w:rsidR="00E05B37" w:rsidRDefault="00E05B37" w:rsidP="000D1DCD">
      <w:pPr>
        <w:spacing w:after="0" w:line="240" w:lineRule="auto"/>
      </w:pPr>
      <w:r>
        <w:separator/>
      </w:r>
    </w:p>
  </w:footnote>
  <w:footnote w:type="continuationSeparator" w:id="0">
    <w:p w14:paraId="5E334619" w14:textId="77777777" w:rsidR="00E05B37" w:rsidRDefault="00E05B37" w:rsidP="000D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FD0B" w14:textId="6C7A3A83" w:rsidR="006F441B" w:rsidRDefault="006F441B">
    <w:pPr>
      <w:pStyle w:val="Nagwek"/>
    </w:pPr>
    <w:r>
      <w:t>2022-960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F"/>
    <w:rsid w:val="000D1DCD"/>
    <w:rsid w:val="000D28E5"/>
    <w:rsid w:val="001144C4"/>
    <w:rsid w:val="001B07BF"/>
    <w:rsid w:val="002C242F"/>
    <w:rsid w:val="002E043A"/>
    <w:rsid w:val="00315B5E"/>
    <w:rsid w:val="003B70A2"/>
    <w:rsid w:val="0040065A"/>
    <w:rsid w:val="004922DC"/>
    <w:rsid w:val="004C5B95"/>
    <w:rsid w:val="004E3741"/>
    <w:rsid w:val="0064705A"/>
    <w:rsid w:val="006543C1"/>
    <w:rsid w:val="00665B85"/>
    <w:rsid w:val="006B4C33"/>
    <w:rsid w:val="006F441B"/>
    <w:rsid w:val="00780411"/>
    <w:rsid w:val="00784BF9"/>
    <w:rsid w:val="007E3F1D"/>
    <w:rsid w:val="008210AA"/>
    <w:rsid w:val="009520A6"/>
    <w:rsid w:val="009F2A5E"/>
    <w:rsid w:val="00A23674"/>
    <w:rsid w:val="00B153E9"/>
    <w:rsid w:val="00B54710"/>
    <w:rsid w:val="00BB6CDF"/>
    <w:rsid w:val="00BC701A"/>
    <w:rsid w:val="00BE0A77"/>
    <w:rsid w:val="00C44854"/>
    <w:rsid w:val="00DD6955"/>
    <w:rsid w:val="00E05B37"/>
    <w:rsid w:val="00EC19E6"/>
    <w:rsid w:val="00ED36CF"/>
    <w:rsid w:val="00F44B2B"/>
    <w:rsid w:val="00F53EAA"/>
    <w:rsid w:val="00FA1B56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4675"/>
  <w15:chartTrackingRefBased/>
  <w15:docId w15:val="{7CA4B66C-53D9-4D76-A00B-2EF54E7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D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D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41B"/>
  </w:style>
  <w:style w:type="paragraph" w:styleId="Stopka">
    <w:name w:val="footer"/>
    <w:basedOn w:val="Normalny"/>
    <w:link w:val="StopkaZnak"/>
    <w:uiPriority w:val="99"/>
    <w:unhideWhenUsed/>
    <w:rsid w:val="006F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41B"/>
  </w:style>
  <w:style w:type="paragraph" w:styleId="Akapitzlist">
    <w:name w:val="List Paragraph"/>
    <w:basedOn w:val="Normalny"/>
    <w:uiPriority w:val="34"/>
    <w:qFormat/>
    <w:rsid w:val="0095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Skrzypek</dc:creator>
  <cp:keywords/>
  <dc:description/>
  <cp:lastModifiedBy>Magdalena Kwasiborska</cp:lastModifiedBy>
  <cp:revision>8</cp:revision>
  <dcterms:created xsi:type="dcterms:W3CDTF">2022-12-13T12:15:00Z</dcterms:created>
  <dcterms:modified xsi:type="dcterms:W3CDTF">2022-12-14T12:39:00Z</dcterms:modified>
</cp:coreProperties>
</file>