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335A6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14:paraId="56EDE5B7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</w:p>
    <w:p w14:paraId="7F927119" w14:textId="77777777" w:rsidR="000E6205" w:rsidRPr="00FC1029" w:rsidRDefault="000E6205" w:rsidP="000E6205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FC1029">
        <w:rPr>
          <w:rFonts w:ascii="Arial" w:eastAsia="Times New Roman" w:hAnsi="Arial" w:cs="Arial"/>
          <w:lang w:val="en-US" w:eastAsia="pl-PL"/>
        </w:rPr>
        <w:t>email:</w:t>
      </w:r>
      <w:r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F6746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  <w:r w:rsidRPr="00FC1029">
        <w:rPr>
          <w:rFonts w:ascii="Arial" w:eastAsia="Times New Roman" w:hAnsi="Arial" w:cs="Arial"/>
          <w:lang w:val="en-US" w:eastAsia="pl-PL"/>
        </w:rPr>
        <w:t>;</w:t>
      </w:r>
    </w:p>
    <w:p w14:paraId="3009C132" w14:textId="4FB8740C" w:rsidR="000E6205" w:rsidRPr="00FC1029" w:rsidRDefault="000E6205" w:rsidP="00A57B9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przetwarzane będą w celu wyboru najkorzystniejszej oferty 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FC1029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Pr="00FC1029">
        <w:rPr>
          <w:rFonts w:ascii="Arial" w:eastAsia="Times New Roman" w:hAnsi="Arial" w:cs="Arial"/>
          <w:lang w:eastAsia="pl-PL"/>
        </w:rPr>
        <w:t xml:space="preserve">pn. </w:t>
      </w:r>
      <w:r w:rsidR="00A57B94" w:rsidRPr="00A57B94">
        <w:rPr>
          <w:rFonts w:ascii="Arial" w:eastAsia="Times New Roman" w:hAnsi="Arial" w:cs="Arial"/>
          <w:b/>
          <w:lang w:eastAsia="pl-PL"/>
        </w:rPr>
        <w:t xml:space="preserve">Sukcesywna sprzedaż wraz z dostawami </w:t>
      </w:r>
      <w:r w:rsidR="00E538A9">
        <w:rPr>
          <w:rFonts w:ascii="Arial" w:eastAsia="Times New Roman" w:hAnsi="Arial" w:cs="Arial"/>
          <w:b/>
          <w:lang w:eastAsia="pl-PL"/>
        </w:rPr>
        <w:t>materiałów do sterylizacji</w:t>
      </w:r>
      <w:r w:rsidR="001713E7">
        <w:rPr>
          <w:rFonts w:ascii="Arial" w:eastAsia="Times New Roman" w:hAnsi="Arial" w:cs="Arial"/>
          <w:b/>
          <w:lang w:eastAsia="pl-PL"/>
        </w:rPr>
        <w:t xml:space="preserve"> </w:t>
      </w:r>
      <w:r w:rsidR="00A57B94" w:rsidRPr="00A57B94">
        <w:rPr>
          <w:rFonts w:ascii="Arial" w:eastAsia="Times New Roman" w:hAnsi="Arial" w:cs="Arial"/>
          <w:b/>
          <w:lang w:eastAsia="pl-PL"/>
        </w:rPr>
        <w:t>dla Jednostek należących do Grupy Kapitałowej Grupa Nowy Szpital Holding</w:t>
      </w:r>
      <w:r w:rsidRPr="00FC1029">
        <w:rPr>
          <w:rFonts w:ascii="Arial" w:eastAsia="Times New Roman" w:hAnsi="Arial" w:cs="Arial"/>
          <w:lang w:eastAsia="pl-PL"/>
        </w:rPr>
        <w:t xml:space="preserve"> (nr ref. </w:t>
      </w:r>
      <w:r w:rsidRPr="00B123CE">
        <w:rPr>
          <w:rFonts w:ascii="Arial" w:eastAsia="Times New Roman" w:hAnsi="Arial" w:cs="Arial"/>
          <w:b/>
          <w:lang w:eastAsia="pl-PL"/>
        </w:rPr>
        <w:t>2020-</w:t>
      </w:r>
      <w:r w:rsidR="0013696B">
        <w:rPr>
          <w:rFonts w:ascii="Arial" w:eastAsia="Times New Roman" w:hAnsi="Arial" w:cs="Arial"/>
          <w:b/>
          <w:lang w:eastAsia="pl-PL"/>
        </w:rPr>
        <w:t>8</w:t>
      </w:r>
      <w:r w:rsidR="000E54B9">
        <w:rPr>
          <w:rFonts w:ascii="Arial" w:eastAsia="Times New Roman" w:hAnsi="Arial" w:cs="Arial"/>
          <w:b/>
          <w:lang w:eastAsia="pl-PL"/>
        </w:rPr>
        <w:t>81</w:t>
      </w:r>
      <w:bookmarkStart w:id="0" w:name="_GoBack"/>
      <w:bookmarkEnd w:id="0"/>
      <w:r w:rsidR="00923AD9">
        <w:rPr>
          <w:rFonts w:ascii="Arial" w:eastAsia="Times New Roman" w:hAnsi="Arial" w:cs="Arial"/>
          <w:b/>
          <w:lang w:eastAsia="pl-PL"/>
        </w:rPr>
        <w:t xml:space="preserve"> </w:t>
      </w:r>
      <w:r w:rsidRPr="00FC1029">
        <w:rPr>
          <w:rFonts w:ascii="Arial" w:eastAsia="Times New Roman" w:hAnsi="Arial" w:cs="Arial"/>
          <w:lang w:eastAsia="pl-PL"/>
        </w:rPr>
        <w:t xml:space="preserve">prowadzonym w trybie </w:t>
      </w:r>
      <w:r>
        <w:rPr>
          <w:rFonts w:ascii="Arial" w:eastAsia="Times New Roman" w:hAnsi="Arial" w:cs="Arial"/>
          <w:lang w:eastAsia="pl-PL"/>
        </w:rPr>
        <w:t>zapytania ofertowego z ogłoszeniem</w:t>
      </w:r>
      <w:r w:rsidRPr="00FC1029">
        <w:rPr>
          <w:rFonts w:ascii="Arial" w:eastAsia="Times New Roman" w:hAnsi="Arial" w:cs="Arial"/>
          <w:lang w:eastAsia="pl-PL"/>
        </w:rPr>
        <w:t>;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7777777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B7F0B" w14:textId="77777777" w:rsidR="007937DA" w:rsidRDefault="007937DA" w:rsidP="000E6205">
      <w:r>
        <w:separator/>
      </w:r>
    </w:p>
  </w:endnote>
  <w:endnote w:type="continuationSeparator" w:id="0">
    <w:p w14:paraId="35805E01" w14:textId="77777777" w:rsidR="007937DA" w:rsidRDefault="007937DA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4258"/>
      <w:docPartObj>
        <w:docPartGallery w:val="Page Numbers (Bottom of Page)"/>
        <w:docPartUnique/>
      </w:docPartObj>
    </w:sdtPr>
    <w:sdtEndPr/>
    <w:sdtContent>
      <w:p w14:paraId="65511A35" w14:textId="77777777" w:rsidR="000E6205" w:rsidRDefault="000E6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B9">
          <w:rPr>
            <w:noProof/>
          </w:rPr>
          <w:t>2</w:t>
        </w:r>
        <w:r>
          <w:fldChar w:fldCharType="end"/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229B7" w14:textId="77777777" w:rsidR="007937DA" w:rsidRDefault="007937DA" w:rsidP="000E6205">
      <w:r>
        <w:separator/>
      </w:r>
    </w:p>
  </w:footnote>
  <w:footnote w:type="continuationSeparator" w:id="0">
    <w:p w14:paraId="1A1D8087" w14:textId="77777777" w:rsidR="007937DA" w:rsidRDefault="007937DA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07"/>
    <w:rsid w:val="000A0727"/>
    <w:rsid w:val="000E54B9"/>
    <w:rsid w:val="000E6205"/>
    <w:rsid w:val="0013696B"/>
    <w:rsid w:val="001713E7"/>
    <w:rsid w:val="0024734A"/>
    <w:rsid w:val="00247401"/>
    <w:rsid w:val="00285751"/>
    <w:rsid w:val="00371D1C"/>
    <w:rsid w:val="003B2CA7"/>
    <w:rsid w:val="00436C4B"/>
    <w:rsid w:val="00501A3D"/>
    <w:rsid w:val="00771529"/>
    <w:rsid w:val="007937DA"/>
    <w:rsid w:val="00923AD9"/>
    <w:rsid w:val="00A57B94"/>
    <w:rsid w:val="00B1076F"/>
    <w:rsid w:val="00B123CE"/>
    <w:rsid w:val="00BC502D"/>
    <w:rsid w:val="00E538A9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Berenika Szerniewicz</cp:lastModifiedBy>
  <cp:revision>11</cp:revision>
  <dcterms:created xsi:type="dcterms:W3CDTF">2020-06-30T04:38:00Z</dcterms:created>
  <dcterms:modified xsi:type="dcterms:W3CDTF">2020-09-25T07:44:00Z</dcterms:modified>
</cp:coreProperties>
</file>